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Adatvédelmi hozzájáruló nyilatkozat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1)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 Felhasználó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Budapesti Tigrisek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Sportegyesület (székhely: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Bp. 1181, Csontv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ry u. 13/57.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Nyilvántartási száma: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13683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Nyilvántartásba vev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hat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óság: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Főv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rosi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Törvényszék, Adószáma: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18012020-1-43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e-mail elérhet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ég: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tigrisek@gmail.com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 továbbiakban: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SE, Képvisel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ő: Pataki Kriszti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 Eln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ök)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által az Alapító Okiratában meghatározott alapcél szerinti tevékenysége végzése, elérhet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ég biztosítása és a tevékenységr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val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 tájékoztatás (a továbbiakban: Alaptevékenység) kapcsán rendelkezésre bocsájtott jelen adatvédelmi hozzájáruló nyilatkozat elfogadásával - a jelen hozzájáruló nyilatkozat szerinti feltételekkel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az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önkéntes hozzájárulását adja ahhoz, hogy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az inform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ációs önrendelkezési jogról és az információszabadságról szóló 2011. évi CXII. törvény (a továbbiakban: Infotv.) 5. § (1) bekezdés a) pontja, a természetes személyeknek a személyes adatok kezelése tekintetében történ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édelmér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és az ilyen adatok szabad áramlásáról, valamint a 95/46/EK rendelet hatályon kívül helyezésér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(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általános adatvédelmi rendelet) szóló AZ EURÓPAI PARLAMENT ÉS A TANÁCS (EU) 2016/679 RENDELETE (2016. április 27.) 6. cikk (1) bekezdés a) pontja alapján, tekintettel az elektronikus kereskedelmi szolgáltatások, valamint az információs társadalommal összefügg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szolg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áltatások egyes kérdéseir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óló 2001. évi CVIII. törvényben (a továbbiakban: Ektv.) 13/A. § (4) bekezdésében foglaltakra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 Port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álon történ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megjelen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ítésben a Felhasználó által megadott 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természetes személyazonosító adatokat, nevet, illetve az arcképet,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 tests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lyt,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 foglalkozások helyét és id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át, valamint az elektronikus levelezési címet és telefonos elérhet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éget, a tevékenység végzéséhez el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ő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írt szakképzettségre vonatkozó adatokat, a nemzetközi Dan igazolvány számát, ID azonosítóját, a szakmai foglalkozások vezetéséhez el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ő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írt edzésvezet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ői Plaque azonos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ító számát, illetve a hazai és nemzetközi befizetésekkel kapcsolatos adatokat(a továbbiakban együttesen: személyes adat)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 mai naptól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tagsága fennállásáig az Alaptevékenység végzéséhez,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ülönösen a Felhasználónak címzett elektronikus hirdetés, hírlevél, tájékoztató vagy egyéb címzett tartalom eljuttatása céljából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valamint az Alaptevékenység biztosítása céljából kezelje, illetve ilyen cél érdekében továbbítsa, átadja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adatfeldolgoz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ás érdekében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-vel vállalkozási vagy megbízási jogviszonyban álló harmadik személyek (a továbbiakban: alvállalkozók) számára.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2) Az adatkezelésébe kerül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szem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élyes adatokat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csak a Portálon jeleníti meg, illetve és az említett alvállalkozókon kívül harmadik félnek nem adja át, illetve az átadott személyes adatokat az alvállalkozók semmilyen módon nem jogosultak meg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őrizni, illetve tov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ábbi harmadik személyeknek átadni.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3)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gondoskodik az adatok biztonságáról, továbbá megteszi mindazokat a technikai intézkedéseket, illetve kialakítja azokat az eljárási szabályokat, amelyek az adatvédelmi rendelkezések megvalósulásához szükségesek, összhangban az Infotv. és az Ektv. rendelkezéseivel.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4) A Felhasználó által megadott adatokért, azok helyességéért, teljességért és valódiságáért a Felhasználó a felel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ős. A 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évesen megadott adatokból ered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árokért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akkor sem felel, ha az adat téves jellegét felismerhette. Ha a Felhasználó más személy nevében jár el, a Felhasználó felel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 az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ért, hogy a jelen Adatvédelmi nyilatkozat és tájékoztató szerinti feltételekkel megegyez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adatv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édelmi hozzájáruló nyilatkozattal az érintett személyt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rendelkezz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ék, illetve ennek bizonyítása is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őt terheli.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5) A személyes adatok kezelése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ha az adatv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édelmi hozzájáruló nyilatkozatot a Felhasználó a Portálon elfogadottként jelölte meg vagy eredetben aláírta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az aláírás napján, illetve a Portálon az elfogadás megtételével megkezd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ődik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és a kezelés a személyes adatok kérelemre való törléséig, az adatkezelési cél megsz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űn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éséig, illetve az adatkezelés Felhasználó általi megtiltásáig tart.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6) Az adatkezeléssel kapcsolatban a Felhasználónak az alábbi jogai, jogorvoslati lehet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égei állnak fenn: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a)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 Felhasználó tájékoztatást kérhet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SE-t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annak 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érhet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égein (e-mail: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tigrisek@gmail.com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; postacím: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1181, Bp. Csontv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ry u. 13/57.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telefonszám: +36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70/941-5992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 személyes adatok kezelésér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ől; ennek sor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án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tájékoztatást ad az általa kezelt adatokról, az adatkezelés céljáról, jogalapjáról, id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őtartam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áról, illetve az esetleges adatfeldolgozásról, vagy az adattovábbítás jogalapjáról és címzettjér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ől. (Infotv. 14-15.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§) Az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köteles legkés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őbb 25 napon bel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ül írásban megadni a tájékoztatást, amelyet csak törvényben meghatározott ok alapján tagadhat meg. A tájékoztatás megtagadása esetén jogainak érvényesítése érdekében a Felhasználó bírósági jogorvoslattal élhet, illetve a Nemzeti Adatvédelmi és Információszabadság Hatósághoz (a továbbiakban: NAIH) fordulhat vizsgálat lefolytatása érdekében. (Infotv. 16. §)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b) A Felhasználó a személyes adat helyesbítését, illetve törlését vagy zárolását bármikor kérheti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az a) pontban megadott 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érhet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égeken. A személyes adatok törlésére, helyesbítésére, zárolására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ha 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érelmet az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nem utasítja el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 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érelem beérkezését követ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ően 5 munkanapon bel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ül kerül sor. Amennyiben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 helyesbítés, zárolás vagy törlés iránti kérelemnek nem tesz eleget, úgy 30 napon belül közli a Felhasználóval az elutasítás ténybeli és jogi indokait. A kérelem megtagadása esetén jogainak érvényesítése érdekében a Felhasználó bírósági jogorvoslattal élhet, illetve a NAIH-hoz fordulhat vizsgálat lefolytatása érdekében. (Infotv. 18. § (2) bekezdés).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c) A Felhasználó tiltakozhat a személyes adatának kezelése ellen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-nél az a) pontban megadott elérhet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égekre eljuttatott nyilatkozatában, ha az adatkezelés jogszer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űs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égét kifogásolja; ebben az esetben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 döntésr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írásban értesíti a Felhasználót. Amennyiben a Felhasználó a döntéssel nem ért egyet, úgy bírósághoz (törvényszék) fordulhat jogainak érvényesítése érdekében, amely esetben a bíróság soron kívül jár el. (Infotv. 21- 22. §).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………………………,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2020. Febru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„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2552" w:leader="none"/>
          <w:tab w:val="center" w:pos="6804" w:leader="none"/>
        </w:tabs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2552" w:leader="none"/>
          <w:tab w:val="center" w:pos="6804" w:leader="none"/>
        </w:tabs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2552" w:leader="none"/>
          <w:tab w:val="center" w:pos="6804" w:leader="none"/>
        </w:tabs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……………………………………………………………. </w:t>
        <w:tab/>
        <w:t xml:space="preserve">…………………………………………………….</w:t>
      </w:r>
    </w:p>
    <w:p>
      <w:pPr>
        <w:tabs>
          <w:tab w:val="center" w:pos="2552" w:leader="none"/>
          <w:tab w:val="center" w:pos="6804" w:leader="none"/>
        </w:tabs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Felhasználó </w:t>
        <w:tab/>
        <w:t xml:space="preserve">Adatkezel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tabs>
          <w:tab w:val="center" w:pos="2552" w:leader="none"/>
          <w:tab w:val="center" w:pos="6804" w:leader="none"/>
        </w:tabs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Tanú aláírása: </w:t>
        <w:tab/>
        <w:tab/>
        <w:tab/>
        <w:tab/>
        <w:tab/>
        <w:t xml:space="preserve">Tanú aláírása: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Neve: </w:t>
        <w:tab/>
        <w:tab/>
        <w:tab/>
        <w:tab/>
        <w:tab/>
        <w:tab/>
        <w:tab/>
        <w:t xml:space="preserve">Neve: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Lakcíme: </w:t>
        <w:tab/>
        <w:tab/>
        <w:tab/>
        <w:tab/>
        <w:tab/>
        <w:tab/>
        <w:t xml:space="preserve">Lakcíme: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